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07B5B">
        <w:rPr>
          <w:rFonts w:ascii="Times New Roman" w:hAnsi="Times New Roman" w:cs="Times New Roman"/>
          <w:b/>
          <w:bCs/>
          <w:sz w:val="24"/>
          <w:szCs w:val="24"/>
        </w:rPr>
        <w:t>от 18 декабря 2013 г. N 126н</w:t>
      </w:r>
    </w:p>
    <w:bookmarkEnd w:id="0"/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ФОРМИРОВАНИЯ ИНФОРМАЦИИ И ДОКУМЕНТОВ ДЛЯ ВЕДЕНИЯ РЕЕСТРА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БАНКОВСКИХ ГАРАНТИЙ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B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7B5B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5947), и в целях реализации Федерального </w:t>
      </w:r>
      <w:hyperlink r:id="rId6" w:history="1">
        <w:r w:rsidRPr="00D07B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 (Собрание законодательства Российской Федерации, 2013, N 14, ст. 1652, N 27, ст. 3480) приказываю: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7" w:history="1">
        <w:r w:rsidRPr="00D07B5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формирования информации и документов для ведения реестра банковских гарантий (далее - Порядок).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hyperlink w:anchor="Par37" w:history="1">
        <w:r w:rsidRPr="00D07B5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средствами электронной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D07B5B">
        <w:rPr>
          <w:rFonts w:ascii="Times New Roman" w:hAnsi="Times New Roman" w:cs="Times New Roman"/>
          <w:sz w:val="24"/>
          <w:szCs w:val="24"/>
        </w:rPr>
        <w:t>3. Настоящий приказ вступает в силу по истечении 10 дней со дня его официального опубликования, за исключением вступающих в силу: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B5B">
        <w:rPr>
          <w:rFonts w:ascii="Times New Roman" w:hAnsi="Times New Roman" w:cs="Times New Roman"/>
          <w:sz w:val="24"/>
          <w:szCs w:val="24"/>
        </w:rPr>
        <w:t xml:space="preserve">с 1 июля 2014 года </w:t>
      </w:r>
      <w:hyperlink w:anchor="Par95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десятого пункта 13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третьего пункта 14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ar108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второго пункта 15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Pr="00D07B5B">
          <w:rPr>
            <w:rFonts w:ascii="Times New Roman" w:hAnsi="Times New Roman" w:cs="Times New Roman"/>
            <w:sz w:val="24"/>
            <w:szCs w:val="24"/>
          </w:rPr>
          <w:t>абзацев второго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" w:history="1">
        <w:r w:rsidRPr="00D07B5B">
          <w:rPr>
            <w:rFonts w:ascii="Times New Roman" w:hAnsi="Times New Roman" w:cs="Times New Roman"/>
            <w:sz w:val="24"/>
            <w:szCs w:val="24"/>
          </w:rPr>
          <w:t>восьмого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0" w:history="1">
        <w:r w:rsidRPr="00D07B5B">
          <w:rPr>
            <w:rFonts w:ascii="Times New Roman" w:hAnsi="Times New Roman" w:cs="Times New Roman"/>
            <w:sz w:val="24"/>
            <w:szCs w:val="24"/>
          </w:rPr>
          <w:t>четырнадцатого пункта 16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четвертого пункта 17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первого пункта 18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в части сведений об иностранных гражданах, </w:t>
      </w:r>
      <w:hyperlink w:anchor="Par158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третьего пункта</w:t>
        </w:r>
        <w:proofErr w:type="gramEnd"/>
        <w:r w:rsidRPr="00D07B5B">
          <w:rPr>
            <w:rFonts w:ascii="Times New Roman" w:hAnsi="Times New Roman" w:cs="Times New Roman"/>
            <w:sz w:val="24"/>
            <w:szCs w:val="24"/>
          </w:rPr>
          <w:t xml:space="preserve"> 19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4" w:history="1">
        <w:r w:rsidRPr="00D07B5B">
          <w:rPr>
            <w:rFonts w:ascii="Times New Roman" w:hAnsi="Times New Roman" w:cs="Times New Roman"/>
            <w:sz w:val="24"/>
            <w:szCs w:val="24"/>
          </w:rPr>
          <w:t>абзацев второго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7" w:history="1">
        <w:r w:rsidRPr="00D07B5B">
          <w:rPr>
            <w:rFonts w:ascii="Times New Roman" w:hAnsi="Times New Roman" w:cs="Times New Roman"/>
            <w:sz w:val="24"/>
            <w:szCs w:val="24"/>
          </w:rPr>
          <w:t>пятого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3" w:history="1">
        <w:r w:rsidRPr="00D07B5B">
          <w:rPr>
            <w:rFonts w:ascii="Times New Roman" w:hAnsi="Times New Roman" w:cs="Times New Roman"/>
            <w:sz w:val="24"/>
            <w:szCs w:val="24"/>
          </w:rPr>
          <w:t>седьмого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8" w:history="1">
        <w:r w:rsidRPr="00D07B5B">
          <w:rPr>
            <w:rFonts w:ascii="Times New Roman" w:hAnsi="Times New Roman" w:cs="Times New Roman"/>
            <w:sz w:val="24"/>
            <w:szCs w:val="24"/>
          </w:rPr>
          <w:t>восьмого пункта 20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5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третьего пункта 21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8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пятого пункта 25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с 1 января 2015 года абзаца третьего </w:t>
      </w:r>
      <w:hyperlink w:anchor="Par51" w:history="1">
        <w:r w:rsidRPr="00D07B5B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пятого пункта 12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девятого пункта 13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1" w:history="1">
        <w:r w:rsidRPr="00D07B5B">
          <w:rPr>
            <w:rFonts w:ascii="Times New Roman" w:hAnsi="Times New Roman" w:cs="Times New Roman"/>
            <w:sz w:val="24"/>
            <w:szCs w:val="24"/>
          </w:rPr>
          <w:t>абзаца второго пункта 18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с 1 января 2016 года </w:t>
      </w:r>
      <w:hyperlink w:anchor="Par192" w:history="1">
        <w:r w:rsidRPr="00D07B5B">
          <w:rPr>
            <w:rFonts w:ascii="Times New Roman" w:hAnsi="Times New Roman" w:cs="Times New Roman"/>
            <w:sz w:val="24"/>
            <w:szCs w:val="24"/>
          </w:rPr>
          <w:t>пункта 22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До вступления в силу </w:t>
      </w:r>
      <w:hyperlink w:anchor="Par192" w:history="1">
        <w:r w:rsidRPr="00D07B5B">
          <w:rPr>
            <w:rFonts w:ascii="Times New Roman" w:hAnsi="Times New Roman" w:cs="Times New Roman"/>
            <w:sz w:val="24"/>
            <w:szCs w:val="24"/>
          </w:rPr>
          <w:t>пункта 22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гарантия, из реестра контрактов.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 xml:space="preserve">Информация об уникальном номере контракта, в обеспечение которого выдана банковская </w:t>
      </w:r>
      <w:r w:rsidRPr="00D07B5B">
        <w:rPr>
          <w:rFonts w:ascii="Times New Roman" w:hAnsi="Times New Roman" w:cs="Times New Roman"/>
          <w:sz w:val="24"/>
          <w:szCs w:val="24"/>
        </w:rPr>
        <w:lastRenderedPageBreak/>
        <w:t>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  <w:proofErr w:type="gramEnd"/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B5B">
        <w:rPr>
          <w:rFonts w:ascii="Times New Roman" w:hAnsi="Times New Roman" w:cs="Times New Roman"/>
          <w:sz w:val="24"/>
          <w:szCs w:val="24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7" w:history="1">
        <w:r w:rsidRPr="00D07B5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07B5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07B5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07B5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07B5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07B5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D07B5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07B5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D07B5B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  <w:proofErr w:type="gramEnd"/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Министр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А.Г.СИЛУАНОВ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D07B5B">
        <w:rPr>
          <w:rFonts w:ascii="Times New Roman" w:hAnsi="Times New Roman" w:cs="Times New Roman"/>
          <w:sz w:val="24"/>
          <w:szCs w:val="24"/>
        </w:rPr>
        <w:t>Утвержден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от 18.12.2013 N 126н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7"/>
      <w:bookmarkEnd w:id="3"/>
      <w:r w:rsidRPr="00D07B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ФОРМИРОВАНИЯ ИНФОРМАЦИИ И ДОКУМЕНТОВ ДЛЯ ВЕДЕНИЯ РЕЕСТРА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B5B">
        <w:rPr>
          <w:rFonts w:ascii="Times New Roman" w:hAnsi="Times New Roman" w:cs="Times New Roman"/>
          <w:b/>
          <w:bCs/>
          <w:sz w:val="24"/>
          <w:szCs w:val="24"/>
        </w:rPr>
        <w:t>БАНКОВСКИХ ГАРАНТИЙ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1. 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2. Информация и документы, включаемые в реестр банковских гарантий (далее соответственно - информация, документы, информация и документы, реестр), формируются: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банками, выдающими банковские гарантии, используемые для целей Федерального </w:t>
      </w:r>
      <w:hyperlink r:id="rId16" w:history="1">
        <w:r w:rsidRPr="00D07B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заказчиками, являющимися бенефициарами по банковским гарантиям (далее - заказчики).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Формирование банками, выдающими банковские гарантии, и заказчиками информации и 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lastRenderedPageBreak/>
        <w:t>4. Информация и документы, формируемые заказчиками и банками, подписываются усиленной неквалифицированной электронной подписью (далее - электронная подпись) уполномоченного от их имени лица.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D07B5B">
        <w:rPr>
          <w:rFonts w:ascii="Times New Roman" w:hAnsi="Times New Roman" w:cs="Times New Roman"/>
          <w:sz w:val="24"/>
          <w:szCs w:val="24"/>
        </w:rPr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D07B5B">
        <w:rPr>
          <w:rFonts w:ascii="Times New Roman" w:hAnsi="Times New Roman" w:cs="Times New Roman"/>
          <w:sz w:val="24"/>
          <w:szCs w:val="24"/>
        </w:rPr>
        <w:t>6. Документы, включаемые в реестр,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9. В целях ведения реестра банк обеспечивает формирование следующей информации и документов: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D07B5B">
        <w:rPr>
          <w:rFonts w:ascii="Times New Roman" w:hAnsi="Times New Roman" w:cs="Times New Roman"/>
          <w:sz w:val="24"/>
          <w:szCs w:val="24"/>
        </w:rP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в) наименование, место нахождения заказчика, идентификационный номер налогоплательщика;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г) денежная сумма, подлежащая уплате банком в случае неисполнения поставщиком в установленных случаях требований Федерального </w:t>
      </w:r>
      <w:hyperlink r:id="rId17" w:history="1">
        <w:r w:rsidRPr="00D07B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д) срок действия банковской гарантии;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2"/>
      <w:bookmarkEnd w:id="7"/>
      <w:r w:rsidRPr="00D07B5B">
        <w:rPr>
          <w:rFonts w:ascii="Times New Roman" w:hAnsi="Times New Roman" w:cs="Times New Roman"/>
          <w:sz w:val="24"/>
          <w:szCs w:val="24"/>
        </w:rPr>
        <w:t>е) идентификационный код закупки;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"/>
      <w:bookmarkEnd w:id="8"/>
      <w:r w:rsidRPr="00D07B5B">
        <w:rPr>
          <w:rFonts w:ascii="Times New Roman" w:hAnsi="Times New Roman" w:cs="Times New Roman"/>
          <w:sz w:val="24"/>
          <w:szCs w:val="24"/>
        </w:rPr>
        <w:t>ж) копия заключенного договора банковской гарантии;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"/>
      <w:bookmarkEnd w:id="9"/>
      <w:r w:rsidRPr="00D07B5B">
        <w:rPr>
          <w:rFonts w:ascii="Times New Roman" w:hAnsi="Times New Roman" w:cs="Times New Roman"/>
          <w:sz w:val="24"/>
          <w:szCs w:val="24"/>
        </w:rPr>
        <w:t>з) копия документа о внесении изменений в условия банковской гарантии (при наличии).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 w:rsidRPr="00D07B5B">
        <w:rPr>
          <w:rFonts w:ascii="Times New Roman" w:hAnsi="Times New Roman" w:cs="Times New Roman"/>
          <w:sz w:val="24"/>
          <w:szCs w:val="24"/>
        </w:rPr>
        <w:t>10. В случае отказа в принятии банковской гарантии заказчик обеспечивает формирование информации об отказе заказчика в принятии банковской гарантии.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6"/>
      <w:bookmarkEnd w:id="11"/>
      <w:r w:rsidRPr="00D07B5B">
        <w:rPr>
          <w:rFonts w:ascii="Times New Roman" w:hAnsi="Times New Roman" w:cs="Times New Roman"/>
          <w:sz w:val="24"/>
          <w:szCs w:val="24"/>
        </w:rPr>
        <w:t>К информации об отказе заказчика в принятии банковской гарантии в адрес поставщика прилагается соответствующий документ заказчика, содержащий информацию об отказе в принятии банковской гарантии с указанием причин, послуживших основанием для отказа.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11. Сведения, указанные в </w:t>
      </w:r>
      <w:hyperlink w:anchor="Par57" w:history="1">
        <w:r w:rsidRPr="00D07B5B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history="1">
        <w:r w:rsidRPr="00D07B5B">
          <w:rPr>
            <w:rFonts w:ascii="Times New Roman" w:hAnsi="Times New Roman" w:cs="Times New Roman"/>
            <w:sz w:val="24"/>
            <w:szCs w:val="24"/>
          </w:rPr>
          <w:t>"е" пункта 9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65" w:history="1">
        <w:r w:rsidRPr="00D07B5B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</w:t>
      </w:r>
      <w:r w:rsidRPr="00D07B5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включаются в реестр в виде информации в соответствии с </w:t>
      </w:r>
      <w:hyperlink w:anchor="Par51" w:history="1">
        <w:r w:rsidRPr="00D07B5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63" w:history="1">
        <w:r w:rsidRPr="00D07B5B">
          <w:rPr>
            <w:rFonts w:ascii="Times New Roman" w:hAnsi="Times New Roman" w:cs="Times New Roman"/>
            <w:sz w:val="24"/>
            <w:szCs w:val="24"/>
          </w:rPr>
          <w:t>подпунктах "ж"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history="1">
        <w:r w:rsidRPr="00D07B5B">
          <w:rPr>
            <w:rFonts w:ascii="Times New Roman" w:hAnsi="Times New Roman" w:cs="Times New Roman"/>
            <w:sz w:val="24"/>
            <w:szCs w:val="24"/>
          </w:rPr>
          <w:t>"з" пункта 9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history="1">
        <w:r w:rsidRPr="00D07B5B">
          <w:rPr>
            <w:rFonts w:ascii="Times New Roman" w:hAnsi="Times New Roman" w:cs="Times New Roman"/>
            <w:sz w:val="24"/>
            <w:szCs w:val="24"/>
          </w:rPr>
          <w:t>абзаце втором пункта 10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реестр в виде документа в соответствии с </w:t>
      </w:r>
      <w:hyperlink w:anchor="Par53" w:history="1">
        <w:r w:rsidRPr="00D07B5B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18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7"/>
      <w:bookmarkEnd w:id="12"/>
      <w:proofErr w:type="gramStart"/>
      <w:r w:rsidRPr="00D07B5B">
        <w:rPr>
          <w:rFonts w:ascii="Times New Roman" w:hAnsi="Times New Roman" w:cs="Times New Roman"/>
          <w:sz w:val="24"/>
          <w:szCs w:val="24"/>
        </w:rPr>
        <w:t>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  <w:proofErr w:type="gramEnd"/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и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</w:t>
      </w:r>
      <w:hyperlink r:id="rId19" w:history="1">
        <w:r w:rsidRPr="00D07B5B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в целях ведения Единого государственного реестра юридических лиц;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почтовый индекс места нахождения банка, заказчика, поставщика;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0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элемента планировочной структуры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объекта улично-дорожной сети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цифровое или буквенно-цифровое обозначение объекта адресации (при наличии).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B5B">
        <w:rPr>
          <w:rFonts w:ascii="Times New Roman" w:hAnsi="Times New Roman" w:cs="Times New Roman"/>
          <w:sz w:val="24"/>
          <w:szCs w:val="24"/>
        </w:rP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, поставщиком.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0"/>
      <w:bookmarkEnd w:id="13"/>
      <w:r w:rsidRPr="00D07B5B">
        <w:rPr>
          <w:rFonts w:ascii="Times New Roman" w:hAnsi="Times New Roman" w:cs="Times New Roman"/>
          <w:sz w:val="24"/>
          <w:szCs w:val="24"/>
        </w:rPr>
        <w:t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5"/>
      <w:bookmarkEnd w:id="14"/>
      <w:r w:rsidRPr="00D07B5B">
        <w:rPr>
          <w:rFonts w:ascii="Times New Roman" w:hAnsi="Times New Roman" w:cs="Times New Roman"/>
          <w:sz w:val="24"/>
          <w:szCs w:val="24"/>
        </w:rPr>
        <w:t xml:space="preserve">Информация о коде населенного пункта места нахождения банка, заказчика, поставщика в соответствии с Общероссийским </w:t>
      </w:r>
      <w:hyperlink r:id="rId21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административно-территориального деления </w:t>
      </w:r>
      <w:r w:rsidRPr="00D07B5B">
        <w:rPr>
          <w:rFonts w:ascii="Times New Roman" w:hAnsi="Times New Roman" w:cs="Times New Roman"/>
          <w:sz w:val="24"/>
          <w:szCs w:val="24"/>
        </w:rPr>
        <w:lastRenderedPageBreak/>
        <w:t xml:space="preserve">кодам Общероссийского </w:t>
      </w:r>
      <w:hyperlink r:id="rId22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2"/>
      <w:bookmarkEnd w:id="15"/>
      <w:r w:rsidRPr="00D07B5B">
        <w:rPr>
          <w:rFonts w:ascii="Times New Roman" w:hAnsi="Times New Roman" w:cs="Times New Roman"/>
          <w:sz w:val="24"/>
          <w:szCs w:val="24"/>
        </w:rPr>
        <w:t xml:space="preserve">код причины и дата постановки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на учет в налоговом органе в соответствии со свидетельством о постановке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на учет в налоговом органе.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8"/>
      <w:bookmarkEnd w:id="16"/>
      <w:r w:rsidRPr="00D07B5B">
        <w:rPr>
          <w:rFonts w:ascii="Times New Roman" w:hAnsi="Times New Roman" w:cs="Times New Roman"/>
          <w:sz w:val="24"/>
          <w:szCs w:val="24"/>
        </w:rPr>
        <w:t>Дополнительно полное наименование иностранного юридического лица может указываться с использованием букв латинского алфавита.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4"/>
      <w:bookmarkEnd w:id="17"/>
      <w:r w:rsidRPr="00D07B5B">
        <w:rPr>
          <w:rFonts w:ascii="Times New Roman" w:hAnsi="Times New Roman" w:cs="Times New Roman"/>
          <w:sz w:val="24"/>
          <w:szCs w:val="24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23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стран мира (ОКСМ);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населенного пункта, наименование населенного пункта лица;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элемента планировочной структуры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объекта улично-дорожной сети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цифровое или буквенно-цифровое обозначение объекта адресации (при наличии).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4"/>
      <w:bookmarkEnd w:id="18"/>
      <w:r w:rsidRPr="00D07B5B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и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</w:t>
      </w:r>
      <w:hyperlink r:id="rId24" w:history="1">
        <w:r w:rsidRPr="00D07B5B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в целях ведения Единого государственного реестра юридических лиц;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5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элемента планировочной структуры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тип и наименование объекта улично-дорожной сети (при наличии);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30"/>
      <w:bookmarkEnd w:id="19"/>
      <w:r w:rsidRPr="00D07B5B">
        <w:rPr>
          <w:rFonts w:ascii="Times New Roman" w:hAnsi="Times New Roman" w:cs="Times New Roman"/>
          <w:sz w:val="24"/>
          <w:szCs w:val="24"/>
        </w:rPr>
        <w:t>тип и цифровое или буквенно-цифровое обозначение объекта адресации (при наличии).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38"/>
      <w:bookmarkEnd w:id="20"/>
      <w:r w:rsidRPr="00D07B5B">
        <w:rPr>
          <w:rFonts w:ascii="Times New Roman" w:hAnsi="Times New Roman" w:cs="Times New Roman"/>
          <w:sz w:val="24"/>
          <w:szCs w:val="24"/>
        </w:rPr>
        <w:t xml:space="preserve">код причины и дата постановки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на учет в налоговом органе в соответствии со свидетельством о постановке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на учет в налоговом органе;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аналог,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для иностранных юридических лиц, не состоящих на учете в налоговых органах на </w:t>
      </w:r>
      <w:r w:rsidRPr="00D07B5B">
        <w:rPr>
          <w:rFonts w:ascii="Times New Roman" w:hAnsi="Times New Roman" w:cs="Times New Roman"/>
          <w:sz w:val="24"/>
          <w:szCs w:val="24"/>
        </w:rPr>
        <w:lastRenderedPageBreak/>
        <w:t>территории Российской Федерации: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6"/>
      <w:bookmarkEnd w:id="21"/>
      <w:r w:rsidRPr="00D07B5B">
        <w:rPr>
          <w:rFonts w:ascii="Times New Roman" w:hAnsi="Times New Roman" w:cs="Times New Roman"/>
          <w:sz w:val="24"/>
          <w:szCs w:val="24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1"/>
      <w:bookmarkEnd w:id="22"/>
      <w:r w:rsidRPr="00D07B5B">
        <w:rPr>
          <w:rFonts w:ascii="Times New Roman" w:hAnsi="Times New Roman" w:cs="Times New Roman"/>
          <w:sz w:val="24"/>
          <w:szCs w:val="24"/>
        </w:rPr>
        <w:t>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индивидуального предпринимателя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58"/>
      <w:bookmarkEnd w:id="23"/>
      <w:r w:rsidRPr="00D07B5B">
        <w:rPr>
          <w:rFonts w:ascii="Times New Roman" w:hAnsi="Times New Roman" w:cs="Times New Roman"/>
          <w:sz w:val="24"/>
          <w:szCs w:val="24"/>
        </w:rPr>
        <w:t xml:space="preserve">дата постановки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на учет индивидуального предпринимателя в соответствии со свидетельством о постановке на учет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в налоговом органе.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20. При формировании информации о денежной сумме, подлежащей уплате гарантом в случае неисполнения участником закупки в установленных случаях требований Федерального </w:t>
      </w:r>
      <w:hyperlink r:id="rId26" w:history="1">
        <w:r w:rsidRPr="00D07B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64"/>
      <w:bookmarkEnd w:id="24"/>
      <w:r w:rsidRPr="00D07B5B">
        <w:rPr>
          <w:rFonts w:ascii="Times New Roman" w:hAnsi="Times New Roman" w:cs="Times New Roman"/>
          <w:sz w:val="24"/>
          <w:szCs w:val="24"/>
        </w:rPr>
        <w:t xml:space="preserve">наименование и код валюты, в которой указывается денежная сумма, в соответствии с Общероссийским </w:t>
      </w:r>
      <w:hyperlink r:id="rId27" w:history="1">
        <w:r w:rsidRPr="00D07B5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валют;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размер денежной суммы в единице валюты с точностью до сотого знака после запятой.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В случае указания денежной суммы в иностранной валюте дополнительно указывается следующая информация: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67"/>
      <w:bookmarkEnd w:id="25"/>
      <w:r w:rsidRPr="00D07B5B">
        <w:rPr>
          <w:rFonts w:ascii="Times New Roman" w:hAnsi="Times New Roman" w:cs="Times New Roman"/>
          <w:sz w:val="24"/>
          <w:szCs w:val="24"/>
        </w:rPr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размер денежной суммы, указанной в иностранной валюте, в рублевом эквиваленте.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73"/>
      <w:bookmarkEnd w:id="26"/>
      <w:r w:rsidRPr="00D07B5B">
        <w:rPr>
          <w:rFonts w:ascii="Times New Roman" w:hAnsi="Times New Roman" w:cs="Times New Roman"/>
          <w:sz w:val="24"/>
          <w:szCs w:val="24"/>
        </w:rPr>
        <w:t>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78"/>
      <w:bookmarkEnd w:id="27"/>
      <w:r w:rsidRPr="00D07B5B">
        <w:rPr>
          <w:rFonts w:ascii="Times New Roman" w:hAnsi="Times New Roman" w:cs="Times New Roman"/>
          <w:sz w:val="24"/>
          <w:szCs w:val="24"/>
        </w:rPr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21. При формировании информации о сроке действия банковской гарантии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дата выдачи банковской гарантии;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85"/>
      <w:bookmarkEnd w:id="28"/>
      <w:r w:rsidRPr="00D07B5B">
        <w:rPr>
          <w:rFonts w:ascii="Times New Roman" w:hAnsi="Times New Roman" w:cs="Times New Roman"/>
          <w:sz w:val="24"/>
          <w:szCs w:val="24"/>
        </w:rPr>
        <w:t>дата вступления в силу банковской гарантии;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дата окончания срока действия банковской гарантии.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ГГГ.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92"/>
      <w:bookmarkEnd w:id="29"/>
      <w:r w:rsidRPr="00D07B5B">
        <w:rPr>
          <w:rFonts w:ascii="Times New Roman" w:hAnsi="Times New Roman" w:cs="Times New Roman"/>
          <w:sz w:val="24"/>
          <w:szCs w:val="24"/>
        </w:rPr>
        <w:t>22. При формировании информации об идентификационном коде закупки указывается идентификационный код закупки, сформированный в установленном порядке.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</w:t>
      </w:r>
      <w:r w:rsidRPr="00D07B5B">
        <w:rPr>
          <w:rFonts w:ascii="Times New Roman" w:hAnsi="Times New Roman" w:cs="Times New Roman"/>
          <w:sz w:val="24"/>
          <w:szCs w:val="24"/>
        </w:rPr>
        <w:lastRenderedPageBreak/>
        <w:t>кодов закупок, размещенных в единой информационной системе.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причин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ы), послужившая основанием для отказа в принятии банковской гарантии в соответствии с </w:t>
      </w:r>
      <w:hyperlink r:id="rId28" w:history="1">
        <w:r w:rsidRPr="00D07B5B">
          <w:rPr>
            <w:rFonts w:ascii="Times New Roman" w:hAnsi="Times New Roman" w:cs="Times New Roman"/>
            <w:sz w:val="24"/>
            <w:szCs w:val="24"/>
          </w:rPr>
          <w:t>частью 6 статьи 45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код(</w:t>
      </w:r>
      <w:proofErr w:type="spellStart"/>
      <w:r w:rsidRPr="00D07B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7B5B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227" w:history="1">
        <w:r w:rsidRPr="00D07B5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номер и дата документа заказчика в адрес поставщика о направлении информации об отказе в принятии банковской гарантии.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ГГГ.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Информация о причин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ах), послужившей основанием для отказа в принятии банковской гарантии, формируется в информационной системе автоматически после указания кода(</w:t>
      </w:r>
      <w:proofErr w:type="spellStart"/>
      <w:r w:rsidRPr="00D07B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7B5B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227" w:history="1">
        <w:r w:rsidRPr="00D07B5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D07B5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информацию, включенную в реестровую запись реестра, сформированную в соответствии с настоящим Порядком;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реестра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в формате утвержденной в установленном порядке структуры уникального номера реестровой записи реестра;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08"/>
      <w:bookmarkEnd w:id="30"/>
      <w:r w:rsidRPr="00D07B5B">
        <w:rPr>
          <w:rFonts w:ascii="Times New Roman" w:hAnsi="Times New Roman" w:cs="Times New Roman"/>
          <w:sz w:val="24"/>
          <w:szCs w:val="24"/>
        </w:rPr>
        <w:t>дату присвоения уникального номера реестровой записи реестра;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дату размещения реестровой записи в составе реестра в единой информационной системе в сфере закупок.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D07B5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>ГГГ.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217"/>
      <w:bookmarkEnd w:id="31"/>
      <w:r w:rsidRPr="00D07B5B">
        <w:rPr>
          <w:rFonts w:ascii="Times New Roman" w:hAnsi="Times New Roman" w:cs="Times New Roman"/>
          <w:sz w:val="24"/>
          <w:szCs w:val="24"/>
        </w:rPr>
        <w:t>Приложение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информации и документов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для ведения реестра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банковских гарантий,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7B5B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07B5B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от 18.12.2013 N 126н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227"/>
      <w:bookmarkEnd w:id="32"/>
      <w:r w:rsidRPr="00D07B5B">
        <w:rPr>
          <w:rFonts w:ascii="Times New Roman" w:hAnsi="Times New Roman" w:cs="Times New Roman"/>
          <w:sz w:val="24"/>
          <w:szCs w:val="24"/>
        </w:rPr>
        <w:t>КОДЫ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5B">
        <w:rPr>
          <w:rFonts w:ascii="Times New Roman" w:hAnsi="Times New Roman" w:cs="Times New Roman"/>
          <w:sz w:val="24"/>
          <w:szCs w:val="24"/>
        </w:rPr>
        <w:t>ПРИЧИНЫ ОТКАЗА ЗАКАЗЧИКА В ПРИНЯТИИ БАНКОВСКОЙ ГАРАНТИИ</w:t>
      </w: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07B5B" w:rsidRPr="00D07B5B" w:rsidSect="00B64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8"/>
        <w:gridCol w:w="1752"/>
      </w:tblGrid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Причина отказа заказчика в принятии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Код причины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29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45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суммы банковской гарантии, подлежащей уплате гарантом заказчику в установленных </w:t>
            </w:r>
            <w:hyperlink r:id="rId30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44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31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>статьей 96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gramStart"/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инципала, надлежащее исполнение которых обеспечивается банковской гарантией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обязанности гаранта уплатить заказчику неустойку в размере 0,1 процента денежной суммы, подлежащей уплате за каждый календарный день просрочки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срока действия банковской гарантии с учетом требований </w:t>
            </w:r>
            <w:hyperlink r:id="rId32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>статей 43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3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34" w:history="1"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3 </w:t>
              </w:r>
              <w:r w:rsidRPr="00D07B5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45</w:t>
              </w:r>
            </w:hyperlink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рабочих дней не исполнено</w:t>
            </w:r>
            <w:proofErr w:type="gramEnd"/>
            <w:r w:rsidRPr="00D07B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B5B" w:rsidRPr="00D07B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5B" w:rsidRPr="00D07B5B" w:rsidRDefault="00D0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5B" w:rsidRPr="00D07B5B" w:rsidRDefault="00D0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D07B5B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D07B5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B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97156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B5B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89E2A5FBC91F40A1CD6A1CF77C48A3857F7E465B59C14E7FD73243D0322Ed5oEM" TargetMode="External"/><Relationship Id="rId13" Type="http://schemas.openxmlformats.org/officeDocument/2006/relationships/hyperlink" Target="consultantplus://offline/ref=BE6BFD191AA42883BAC889E2A5FBC91F40A1CD6A1CF77C48A3857F7E465B59C14E7FD73243D03721d5o7M" TargetMode="External"/><Relationship Id="rId18" Type="http://schemas.openxmlformats.org/officeDocument/2006/relationships/hyperlink" Target="consultantplus://offline/ref=BE6BFD191AA42883BAC889E2A5FBC91F40A1C86319F97C48A3857F7E46d5oBM" TargetMode="External"/><Relationship Id="rId26" Type="http://schemas.openxmlformats.org/officeDocument/2006/relationships/hyperlink" Target="consultantplus://offline/ref=BE6BFD191AA42883BAC889E2A5FBC91F40A1CD6A1CF77C48A3857F7E46d5o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6BFD191AA42883BAC889E2A5FBC91F40A0C3631EF17C48A3857F7E46d5oBM" TargetMode="External"/><Relationship Id="rId34" Type="http://schemas.openxmlformats.org/officeDocument/2006/relationships/hyperlink" Target="consultantplus://offline/ref=BE6BFD191AA42883BAC889E2A5FBC91F40A1CD6A1CF77C48A3857F7E465B59C14E7FD73243D1302Cd5oEM" TargetMode="External"/><Relationship Id="rId7" Type="http://schemas.openxmlformats.org/officeDocument/2006/relationships/hyperlink" Target="consultantplus://offline/ref=BE6BFD191AA42883BAC889E2A5FBC91F40A1CD6A1CF77C48A3857F7E465B59C14E7FD73243D0372Fd5o6M" TargetMode="External"/><Relationship Id="rId12" Type="http://schemas.openxmlformats.org/officeDocument/2006/relationships/hyperlink" Target="consultantplus://offline/ref=BE6BFD191AA42883BAC889E2A5FBC91F40A1CD6A1CF77C48A3857F7E465B59C14E7FD73243D0372Ed5o0M" TargetMode="External"/><Relationship Id="rId17" Type="http://schemas.openxmlformats.org/officeDocument/2006/relationships/hyperlink" Target="consultantplus://offline/ref=BE6BFD191AA42883BAC889E2A5FBC91F40A1CD6A1CF77C48A3857F7E46d5oBM" TargetMode="External"/><Relationship Id="rId25" Type="http://schemas.openxmlformats.org/officeDocument/2006/relationships/hyperlink" Target="consultantplus://offline/ref=BE6BFD191AA42883BAC889E2A5FBC91F40A0C3631EF17C48A3857F7E46d5oBM" TargetMode="External"/><Relationship Id="rId33" Type="http://schemas.openxmlformats.org/officeDocument/2006/relationships/hyperlink" Target="consultantplus://offline/ref=BE6BFD191AA42883BAC889E2A5FBC91F40A1CD6A1CF77C48A3857F7E465B59C14E7FD73243D0362Dd5o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BFD191AA42883BAC889E2A5FBC91F40A1CD6A1CF77C48A3857F7E46d5oBM" TargetMode="External"/><Relationship Id="rId20" Type="http://schemas.openxmlformats.org/officeDocument/2006/relationships/hyperlink" Target="consultantplus://offline/ref=BE6BFD191AA42883BAC889E2A5FBC91F40A0C3631EF17C48A3857F7E46d5oBM" TargetMode="External"/><Relationship Id="rId29" Type="http://schemas.openxmlformats.org/officeDocument/2006/relationships/hyperlink" Target="consultantplus://offline/ref=BE6BFD191AA42883BAC889E2A5FBC91F40A1CD6A1CF77C48A3857F7E465B59C14E7FD73243D1302Cd5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BFD191AA42883BAC889E2A5FBC91F40A1CD6A1CF77C48A3857F7E465B59C14E7FD73243D1302Dd5oEM" TargetMode="External"/><Relationship Id="rId11" Type="http://schemas.openxmlformats.org/officeDocument/2006/relationships/hyperlink" Target="consultantplus://offline/ref=BE6BFD191AA42883BAC889E2A5FBC91F40A1CD6A1CF77C48A3857F7E465B59C14E7FD73243D0372Ed5o5M" TargetMode="External"/><Relationship Id="rId24" Type="http://schemas.openxmlformats.org/officeDocument/2006/relationships/hyperlink" Target="consultantplus://offline/ref=BE6BFD191AA42883BAC889E2A5FBC91F43ACCD6F14A62B4AF2D0717B4E0B11D1003ADA3341D2d3o2M" TargetMode="External"/><Relationship Id="rId32" Type="http://schemas.openxmlformats.org/officeDocument/2006/relationships/hyperlink" Target="consultantplus://offline/ref=BE6BFD191AA42883BAC889E2A5FBC91F40A1CD6A1CF77C48A3857F7E465B59C14E7FD73243D13029d5oFM" TargetMode="External"/><Relationship Id="rId5" Type="http://schemas.openxmlformats.org/officeDocument/2006/relationships/hyperlink" Target="consultantplus://offline/ref=BE6BFD191AA42883BAC889E2A5FBC91F40A1CE6918F47C48A3857F7E465B59C14E7FD73243D1352Cd5o1M" TargetMode="External"/><Relationship Id="rId15" Type="http://schemas.openxmlformats.org/officeDocument/2006/relationships/hyperlink" Target="consultantplus://offline/ref=BE6BFD191AA42883BAC889E2A5FBC91F40A1CD6A1CF77C48A3857F7E465B59C14E7FD73243D03721d5o2M" TargetMode="External"/><Relationship Id="rId23" Type="http://schemas.openxmlformats.org/officeDocument/2006/relationships/hyperlink" Target="consultantplus://offline/ref=BE6BFD191AA42883BAC889E2A5FBC91F40A1CD6917F57C48A3857F7E465B59C14E7FD73243D13528d5o7M" TargetMode="External"/><Relationship Id="rId28" Type="http://schemas.openxmlformats.org/officeDocument/2006/relationships/hyperlink" Target="consultantplus://offline/ref=BE6BFD191AA42883BAC889E2A5FBC91F40A1CD6A1CF77C48A3857F7E465B59C14E7FD73243D1302Fd5o5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6BFD191AA42883BAC889E2A5FBC91F40A1CD6A1CF77C48A3857F7E465B59C14E7FD73243D0372Fd5o0M" TargetMode="External"/><Relationship Id="rId19" Type="http://schemas.openxmlformats.org/officeDocument/2006/relationships/hyperlink" Target="consultantplus://offline/ref=BE6BFD191AA42883BAC889E2A5FBC91F43ACCD6F14A62B4AF2D0717B4E0B11D1003ADA3341D2d3o2M" TargetMode="External"/><Relationship Id="rId31" Type="http://schemas.openxmlformats.org/officeDocument/2006/relationships/hyperlink" Target="consultantplus://offline/ref=BE6BFD191AA42883BAC889E2A5FBC91F40A1CD6A1CF77C48A3857F7E465B59C14E7FD73243D0362Dd5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FD191AA42883BAC889E2A5FBC91F40A1CD6A1CF77C48A3857F7E465B59C14E7FD73243D03221d5o6M" TargetMode="External"/><Relationship Id="rId14" Type="http://schemas.openxmlformats.org/officeDocument/2006/relationships/hyperlink" Target="consultantplus://offline/ref=BE6BFD191AA42883BAC889E2A5FBC91F40A1CD6A1CF77C48A3857F7E465B59C14E7FD73243D03721d5o4M" TargetMode="External"/><Relationship Id="rId22" Type="http://schemas.openxmlformats.org/officeDocument/2006/relationships/hyperlink" Target="consultantplus://offline/ref=BE6BFD191AA42883BAC889E2A5FBC91F40A0C3631EF17C48A3857F7E46d5oBM" TargetMode="External"/><Relationship Id="rId27" Type="http://schemas.openxmlformats.org/officeDocument/2006/relationships/hyperlink" Target="consultantplus://offline/ref=BE6BFD191AA42883BAC889E2A5FBC91F40A1CD6917F47C48A3857F7E46d5oBM" TargetMode="External"/><Relationship Id="rId30" Type="http://schemas.openxmlformats.org/officeDocument/2006/relationships/hyperlink" Target="consultantplus://offline/ref=BE6BFD191AA42883BAC889E2A5FBC91F40A1CD6A1CF77C48A3857F7E465B59C14E7FD73243D1302Bd5oE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2014-03-24T12:40:00Z</dcterms:created>
  <dcterms:modified xsi:type="dcterms:W3CDTF">2014-03-24T13:26:00Z</dcterms:modified>
</cp:coreProperties>
</file>